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55"/>
      </w:tblGrid>
      <w:tr w:rsidR="001F257F" w:rsidRPr="001F257F">
        <w:trPr>
          <w:tblCellSpacing w:w="15" w:type="dxa"/>
        </w:trPr>
        <w:tc>
          <w:tcPr>
            <w:tcW w:w="0" w:type="auto"/>
            <w:tcMar>
              <w:top w:w="7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257F" w:rsidRPr="001F257F" w:rsidRDefault="001F257F" w:rsidP="001F257F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 w:rsidRPr="001F257F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</w:rPr>
              <w:t>需求疲软 烧碱行情难以走强</w:t>
            </w:r>
          </w:p>
        </w:tc>
      </w:tr>
      <w:tr w:rsidR="001F257F" w:rsidRPr="001F257F">
        <w:trPr>
          <w:trHeight w:val="675"/>
          <w:tblCellSpacing w:w="15" w:type="dxa"/>
        </w:trPr>
        <w:tc>
          <w:tcPr>
            <w:tcW w:w="0" w:type="auto"/>
            <w:vAlign w:val="center"/>
            <w:hideMark/>
          </w:tcPr>
          <w:p w:rsidR="001F257F" w:rsidRPr="001F257F" w:rsidRDefault="001F257F" w:rsidP="001F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257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pict>
                <v:rect id="_x0000_i1025" style="width:0;height:.75pt" o:hralign="center" o:hrstd="t" o:hr="t" fillcolor="#aca899" stroked="f"/>
              </w:pict>
            </w:r>
          </w:p>
        </w:tc>
      </w:tr>
      <w:tr w:rsidR="001F257F" w:rsidRPr="001F257F">
        <w:trPr>
          <w:tblCellSpacing w:w="15" w:type="dxa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95"/>
            </w:tblGrid>
            <w:tr w:rsidR="001F257F" w:rsidRPr="001F257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F257F" w:rsidRPr="001F257F" w:rsidRDefault="001F257F" w:rsidP="001F257F">
                  <w:pPr>
                    <w:widowControl/>
                    <w:spacing w:before="100" w:beforeAutospacing="1" w:after="100" w:afterAutospacing="1"/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</w:pPr>
                </w:p>
                <w:p w:rsidR="001F257F" w:rsidRPr="001F257F" w:rsidRDefault="001F257F" w:rsidP="001F25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</w:pP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t xml:space="preserve">　　一、行情回顾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今日国内烧碱现货市场行情整体表现平稳。随着国庆长假日益临近，下游企业备货基本接近尾声，市场人士心态逐渐趋于温和，谨慎操作为主。上游原料方面，原盐市场呈平稳的走势，继续支撑烧碱的成本。不过，因受道路监管限制，西北等地企业运输成本有所增加，使得烧碱外销力度减弱。今日报价方面：32％离子膜碱市场均价在425-445元间，99％片碱主流报价在2250-2400元/吨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二、上游动态</w:t>
                  </w:r>
                </w:p>
                <w:p w:rsidR="001F257F" w:rsidRPr="001F257F" w:rsidRDefault="001F257F" w:rsidP="001F257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1D4C96"/>
                      <w:kern w:val="0"/>
                      <w:sz w:val="20"/>
                      <w:szCs w:val="20"/>
                    </w:rPr>
                  </w:pP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 w:val="20"/>
                      <w:szCs w:val="20"/>
                    </w:rPr>
                    <w:t xml:space="preserve">  </w:t>
                  </w:r>
                </w:p>
                <w:tbl>
                  <w:tblPr>
                    <w:tblW w:w="7118" w:type="dxa"/>
                    <w:jc w:val="center"/>
                    <w:tblLook w:val="04A0"/>
                  </w:tblPr>
                  <w:tblGrid>
                    <w:gridCol w:w="831"/>
                    <w:gridCol w:w="1190"/>
                    <w:gridCol w:w="1574"/>
                    <w:gridCol w:w="1443"/>
                    <w:gridCol w:w="1097"/>
                    <w:gridCol w:w="983"/>
                  </w:tblGrid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7118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                         国内原盐主流报价              单位：元/吨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地 区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价格类型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9月27日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9月28日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最高涨跌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0"/>
                          </w:rPr>
                          <w:t>备 注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西北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150-180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150-180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西南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230-260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230-260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华北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170-200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170-200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华南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送到价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260-330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260-330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华中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送到价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270-300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270-300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东北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200-220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200-220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bookmarkStart w:id="0" w:name="OLE_LINK3"/>
                        <w:bookmarkStart w:id="1" w:name="OLE_LINK4"/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  <w:bookmarkEnd w:id="0"/>
                        <w:bookmarkEnd w:id="1"/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3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华东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送到价</w:t>
                        </w:r>
                      </w:p>
                    </w:tc>
                    <w:tc>
                      <w:tcPr>
                        <w:tcW w:w="15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270-365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270-365</w:t>
                        </w:r>
                      </w:p>
                    </w:tc>
                    <w:tc>
                      <w:tcPr>
                        <w:tcW w:w="109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98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 xml:space="preserve">　</w:t>
                        </w:r>
                      </w:p>
                    </w:tc>
                  </w:tr>
                </w:tbl>
                <w:p w:rsidR="001F257F" w:rsidRPr="001F257F" w:rsidRDefault="001F257F" w:rsidP="001F25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</w:pP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t xml:space="preserve">　　今日原盐市场呈平稳的走势，因近期两碱企业需求较好，盐企产品库存有所锐减。据了解，目前东北、天津及河北等个别企业已展开秋季扒盐工作，而山东等地大部分企业秋盐扒盐将在10月中旬前后开始，11月中上旬秋盐上市。分析人士表示，秋盐上市给市场带来的影响将成为近期市场关注的焦点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三、厂家动态</w:t>
                  </w:r>
                </w:p>
                <w:tbl>
                  <w:tblPr>
                    <w:tblW w:w="7088" w:type="dxa"/>
                    <w:jc w:val="center"/>
                    <w:tblInd w:w="675" w:type="dxa"/>
                    <w:tblLook w:val="04A0"/>
                  </w:tblPr>
                  <w:tblGrid>
                    <w:gridCol w:w="851"/>
                    <w:gridCol w:w="1417"/>
                    <w:gridCol w:w="1418"/>
                    <w:gridCol w:w="1417"/>
                    <w:gridCol w:w="851"/>
                    <w:gridCol w:w="1134"/>
                  </w:tblGrid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bottom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品种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生产厂家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9月27日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9月28日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涨跌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color w:val="1D4C96"/>
                            <w:kern w:val="0"/>
                            <w:sz w:val="20"/>
                            <w:szCs w:val="20"/>
                          </w:rPr>
                          <w:t>备注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32％离子膜碱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乌海化工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自提价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天津化工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折百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天津大沽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1400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折百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宁夏金昱元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折百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江苏新浦化学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430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430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株洲化工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湖北宜化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525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河北宝硕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851" w:type="dxa"/>
                        <w:vMerge w:val="restart"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99％</w:t>
                        </w:r>
                      </w:p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片碱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乌海化工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1650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1650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自提价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西部氯碱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1800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天津大沽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天津化工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2400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山东永嘉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2070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2070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  <w:tr w:rsidR="001F257F" w:rsidRPr="001F257F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淄博环拓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2200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</w:tr>
                </w:tbl>
                <w:p w:rsidR="001F257F" w:rsidRPr="001F257F" w:rsidRDefault="001F257F" w:rsidP="001F25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</w:pP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t xml:space="preserve">　　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四、市场动态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1.市场报价</w:t>
                  </w:r>
                </w:p>
                <w:tbl>
                  <w:tblPr>
                    <w:tblW w:w="7156" w:type="dxa"/>
                    <w:jc w:val="center"/>
                    <w:tblLook w:val="04A0"/>
                  </w:tblPr>
                  <w:tblGrid>
                    <w:gridCol w:w="809"/>
                    <w:gridCol w:w="1099"/>
                    <w:gridCol w:w="1582"/>
                    <w:gridCol w:w="1658"/>
                    <w:gridCol w:w="1213"/>
                    <w:gridCol w:w="795"/>
                  </w:tblGrid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7156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国内</w:t>
                        </w: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32％离子膜碱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7156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righ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单位：元/吨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地 区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价格类型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9月27日报价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9月28日报价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最高涨跌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备 注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华东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420-460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420-460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华南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520-570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520-570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华北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375-410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375-410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bookmarkStart w:id="2" w:name="OLE_LINK7"/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  <w:bookmarkEnd w:id="2"/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西南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450-480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450-480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０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398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西北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310-330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310-350</w:t>
                        </w:r>
                      </w:p>
                    </w:tc>
                    <w:tc>
                      <w:tcPr>
                        <w:tcW w:w="12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↑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1F257F" w:rsidRPr="001F257F" w:rsidRDefault="001F257F" w:rsidP="001F257F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1D4C96"/>
                      <w:kern w:val="0"/>
                      <w:sz w:val="24"/>
                      <w:szCs w:val="24"/>
                    </w:rPr>
                  </w:pPr>
                  <w:r w:rsidRPr="001F257F">
                    <w:rPr>
                      <w:rFonts w:ascii="宋体" w:eastAsia="宋体" w:hAnsi="宋体" w:cs="Arial" w:hint="eastAsia"/>
                      <w:vanish/>
                      <w:color w:val="1D4C96"/>
                      <w:kern w:val="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7148" w:type="dxa"/>
                    <w:jc w:val="center"/>
                    <w:tblLook w:val="04A0"/>
                  </w:tblPr>
                  <w:tblGrid>
                    <w:gridCol w:w="809"/>
                    <w:gridCol w:w="1199"/>
                    <w:gridCol w:w="1620"/>
                    <w:gridCol w:w="1440"/>
                    <w:gridCol w:w="1260"/>
                    <w:gridCol w:w="820"/>
                  </w:tblGrid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714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国内</w:t>
                        </w:r>
                        <w:r w:rsidRPr="001F257F">
                          <w:rPr>
                            <w:rFonts w:ascii="宋体" w:eastAsia="宋体" w:hAnsi="宋体" w:cs="Arial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99％片碱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7148" w:type="dxa"/>
                        <w:gridSpan w:val="6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right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单位：元/吨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地 区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价格类型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9月27日报价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9月28日报价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最高涨跌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99CCFF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b/>
                            <w:bCs/>
                            <w:color w:val="1D4C96"/>
                            <w:kern w:val="0"/>
                            <w:sz w:val="20"/>
                            <w:szCs w:val="24"/>
                          </w:rPr>
                          <w:t>备 注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华东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2250-2300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2250-2300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华南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市场价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2250-2400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2300-2400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FF0000"/>
                            <w:kern w:val="0"/>
                            <w:sz w:val="20"/>
                            <w:szCs w:val="20"/>
                          </w:rPr>
                          <w:t>↑</w:t>
                        </w: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西南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1950-2150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1950-2150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华北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2100-2250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2100-2250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1F257F" w:rsidRPr="001F257F">
                    <w:trPr>
                      <w:trHeight w:val="285"/>
                      <w:jc w:val="center"/>
                    </w:trPr>
                    <w:tc>
                      <w:tcPr>
                        <w:tcW w:w="8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西北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出厂价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1700-1800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1700-1800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F257F" w:rsidRPr="001F257F" w:rsidRDefault="001F257F" w:rsidP="001F257F">
                        <w:pPr>
                          <w:widowControl/>
                          <w:spacing w:before="100" w:beforeAutospacing="1" w:after="100" w:afterAutospacing="1" w:line="375" w:lineRule="atLeast"/>
                          <w:jc w:val="center"/>
                          <w:rPr>
                            <w:rFonts w:ascii="宋体" w:eastAsia="宋体" w:hAnsi="宋体" w:cs="宋体"/>
                            <w:color w:val="1D4C96"/>
                            <w:kern w:val="0"/>
                            <w:sz w:val="24"/>
                            <w:szCs w:val="24"/>
                          </w:rPr>
                        </w:pPr>
                        <w:r w:rsidRPr="001F257F">
                          <w:rPr>
                            <w:rFonts w:ascii="宋体" w:eastAsia="宋体" w:hAnsi="宋体" w:cs="宋体" w:hint="eastAsia"/>
                            <w:color w:val="1D4C96"/>
                            <w:kern w:val="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1F257F" w:rsidRPr="001F257F" w:rsidRDefault="001F257F" w:rsidP="001F257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color w:val="1D4C96"/>
                      <w:kern w:val="0"/>
                      <w:szCs w:val="21"/>
                    </w:rPr>
                  </w:pP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t xml:space="preserve">　　2.市场行情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今日华北地区烧碱市场表现低稳，现32%离子膜碱出厂价持稳于375-410元/吨，99％片碱出厂报2100-2250元/吨。随着前期液氯市场的迅速升温，企业装置开工有所放大，市场货源量也随之增多，但受道路交通运输监管的限制，及下游市场需求的疲软，当地烧碱市场行情好转仍显乏力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今日华南地区烧碱市场呈现稳中略显上行的态势，现32%离子膜碱出厂价格持稳于520-570元/吨左右，99％片碱市场价小幅上涨至2300-2400元/吨。据了解，由于近期北方部分地区烧碱低端价格上调，且外埠货源流入当地有所减少，致使当地贸易商拉涨意向较浓。不过，受制于下游低迷的需求，短期内价格明显上行存在一定的压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lastRenderedPageBreak/>
                    <w:t>力。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今日西北地区烧碱市场行情稳中微幅上涨，现32%离子膜碱市场价小涨20元至310-350元/吨，99％片碱出厂价持稳于1700-1800元/吨。据了解，当地氯碱企业对固定客户的销售模式仍延续前期水平，试探性报价的上调仅是以零散出货为主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五、影响因素分析及预测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随着节假日的临近，下游企业及中间商的提货情绪逐渐趋于温和，市场需求也比较稳定。因此，短期内烧碱下行空间比较有限，上行阻力也较大，行情将继续震荡为主，期待节后市场有所好转。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 xml:space="preserve">　　　　　　　　　　　　　　　　　　　　　　　　　　　　　　　（个人观点 仅供参考）</w:t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</w:r>
                  <w:r w:rsidRPr="001F257F">
                    <w:rPr>
                      <w:rFonts w:ascii="宋体" w:eastAsia="宋体" w:hAnsi="宋体" w:cs="宋体" w:hint="eastAsia"/>
                      <w:color w:val="1D4C96"/>
                      <w:kern w:val="0"/>
                      <w:szCs w:val="21"/>
                    </w:rPr>
                    <w:br/>
                    <w:t> </w:t>
                  </w:r>
                </w:p>
              </w:tc>
            </w:tr>
          </w:tbl>
          <w:p w:rsidR="001F257F" w:rsidRPr="001F257F" w:rsidRDefault="001F257F" w:rsidP="001F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553067" w:rsidRDefault="00553067">
      <w:pPr>
        <w:rPr>
          <w:rFonts w:hint="eastAsia"/>
        </w:rPr>
      </w:pPr>
    </w:p>
    <w:sectPr w:rsidR="00553067" w:rsidSect="00553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257F"/>
    <w:rsid w:val="001F257F"/>
    <w:rsid w:val="00553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F25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F257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1F25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1734</Characters>
  <Application>Microsoft Office Word</Application>
  <DocSecurity>0</DocSecurity>
  <Lines>14</Lines>
  <Paragraphs>4</Paragraphs>
  <ScaleCrop>false</ScaleCrop>
  <Company>mxl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2009-09-29T03:57:00Z</dcterms:created>
  <dcterms:modified xsi:type="dcterms:W3CDTF">2009-09-29T03:58:00Z</dcterms:modified>
</cp:coreProperties>
</file>